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E7C0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"http://www.aop.bg/case2.php?newver=2&amp;mode=show_doc&amp;doc_id=666737&amp;header=&amp;header=print" \t "_blank" </w:instrText>
      </w:r>
      <w:r w:rsidRPr="009E7C0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9E7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Версия</w:t>
      </w:r>
      <w:proofErr w:type="spellEnd"/>
      <w:r w:rsidRPr="009E7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печат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E7C02" w:rsidRPr="009E7C02" w:rsidRDefault="009E7C02" w:rsidP="009E7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02">
        <w:rPr>
          <w:rFonts w:ascii="Times New Roman" w:eastAsia="Times New Roman" w:hAnsi="Times New Roman" w:cs="Times New Roman"/>
          <w:sz w:val="27"/>
          <w:szCs w:val="27"/>
        </w:rPr>
        <w:t>00062-2015-0006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FE19C0" wp14:editId="6A2EE584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150" w:type="dxa"/>
            <w:noWrap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FBAD94" wp14:editId="543EE95F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CBB346" wp14:editId="13A95295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150" w:type="dxa"/>
            <w:noWrap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253E1B" wp14:editId="7ECC4D4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7FEC3" wp14:editId="55E5654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150" w:type="dxa"/>
            <w:noWrap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67A0C3" wp14:editId="598F27E3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02" w:rsidRPr="009E7C02" w:rsidTr="009E7C0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E7C02" w:rsidRPr="009E7C02" w:rsidRDefault="009E7C02" w:rsidP="009E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I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V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V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V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VI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VIII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VIII.</w:t>
        </w:r>
      </w:hyperlink>
    </w:p>
    <w:p w:rsidR="009E7C02" w:rsidRPr="009E7C02" w:rsidRDefault="009E7C02" w:rsidP="009E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IX.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IX.</w:t>
        </w:r>
      </w:hyperlink>
    </w:p>
    <w:p w:rsidR="009E7C02" w:rsidRPr="009E7C02" w:rsidRDefault="009E7C02" w:rsidP="009E7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BG-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E7C02" w:rsidRPr="009E7C02" w:rsidRDefault="009E7C02" w:rsidP="009E7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16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14.05.2015 г. 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ЗОП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откриване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I."/>
      <w:bookmarkEnd w:id="0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І: ВЪЗЛОЖИТЕЛ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7, т. 1-4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ЗОП (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класически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I.1)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национално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световно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стопанство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(УНСС),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Студентски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Ботев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Осми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декември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Самуил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Авдала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- н-к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търгове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1700,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02 8195516, E-mail: </w:t>
      </w:r>
      <w:hyperlink r:id="rId16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avdala@unwe.bg</w:t>
        </w:r>
      </w:hyperlink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: 02 8195516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търгове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/и: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възлагащия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7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www.unwe.bg</w:t>
        </w:r>
      </w:hyperlink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профила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купувача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8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http://zop.unwe.bg/Document?folderId=141</w:t>
        </w:r>
      </w:hyperlink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I.2)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/и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/и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Публичноправна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А) ЗА ОТКРИВАНЕ НА ПРОЦЕДУРА ЗА ВЪЗЛАГАНЕ НА ОБЩЕСТВЕНА ПОРЪЧКА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II."/>
      <w:bookmarkEnd w:id="1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ІI: ОТКРИВАНЕ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ОТКРИВАМ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възлагане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ІI.1)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процедурата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Договаряне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обявление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III."/>
      <w:bookmarkEnd w:id="2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IІI: ПРАВНО ОСНОВАНИЕ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1, т.8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ЗОП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IV."/>
      <w:bookmarkEnd w:id="3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IV: ОБЕКТ НА ПОРЪЧКАТА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ІV.1)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потребностите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състезателен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покривната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УНСС“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ІV.2)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ІV.2.1)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"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",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обхвата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Националния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насърчаване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зелените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поръчки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lastRenderedPageBreak/>
        <w:t>НЕ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ІV.2.1.2.) </w:t>
      </w:r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Зелените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присъстват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във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ІV.2.2)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"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извън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обхвата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Националния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V."/>
      <w:bookmarkEnd w:id="4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V: МОТИВИ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V.1)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Целта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покривната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УНСС“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задължително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условие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аварийно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възстановителни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налагащи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20.01.2015г.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пропадане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втората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плоча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15,65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«И»,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ЗОП-17/2015г.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27.04.2015г.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сключен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 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Галчев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инженеринг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“ ЕООД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покривната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УНСС“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 № 00062-2015-0003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приключване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 ЗОП-12/2014 г.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осъществяване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въвеждане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експлоатационна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сигурност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„И““ с № 00062-2014-0008.Между УНСС и „С-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Консулт“ЕООД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договаряне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обявление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уникален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РОП № 00062-2014-0008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сключен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 ЗОП-12/2014 г.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осъществяване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въвеждане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експлоатационна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сигурност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55000,00лв.без ДДС.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20.01.2015г.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установява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пропадане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зона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около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втората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плоча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студения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покрив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оформяща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топло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хидроизолацията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североизточния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ъгъл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същото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успешното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приключване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 ЗОП-12/2014 г.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осъществяване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въвеждане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експлоатационна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сигурност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„И““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въвеждане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експлоатация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получаване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невъзможно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продължаване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строителния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допълнителни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видове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обхвата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възложените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съответствието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упражняване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СМР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покривната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корпус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„И“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УНСС“.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гореизложеното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допълнителните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възложат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90,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1, т. </w:t>
      </w:r>
      <w:r w:rsidRPr="009E7C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ЗОП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същия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тъй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основанията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нормата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възникнали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непредвидени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обстоятелства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допълнителната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икономически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раздели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основния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съществено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допълнителните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10000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,00лв.без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ДДС,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по-малко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стойността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основната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- 55000,00лв.без ДДС.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V.2)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които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изпраща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поканата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договаряне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без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обявление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реда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ЗОП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"С-КОНСУЛТ"ЕООД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V.3)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свързана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възлагане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която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е:</w:t>
      </w: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№: 24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06.03.2015 г. 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Публикувано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регистъра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обществените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уникален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№: 00062-2014-0008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Допълнителната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повторната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стойност</w:t>
      </w: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:10000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BGN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ДДС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VI."/>
      <w:bookmarkEnd w:id="5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VI: ОДОБРЯВАМ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поканата</w:t>
      </w:r>
      <w:proofErr w:type="spellEnd"/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VII."/>
      <w:bookmarkEnd w:id="6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VII: ОБЖАЛВАНЕ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VII.1)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който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отговаря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процедурите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обжалване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Комисия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конкуренцията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Витоша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№ 18,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1000,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02 9884070, E-mail: </w:t>
      </w:r>
      <w:hyperlink r:id="rId19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cpcadmin@cpc.bg</w:t>
        </w:r>
      </w:hyperlink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: 02 9807315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>/и: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20" w:history="1">
        <w:r w:rsidRPr="009E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http://www.cpc.bg</w:t>
        </w:r>
      </w:hyperlink>
      <w:r w:rsidRPr="009E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VII.2)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жалби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чл.120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ЗОП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VIII."/>
      <w:bookmarkEnd w:id="7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VIII: ДРУГА ИНФОРМАЦИЯ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IX."/>
      <w:bookmarkEnd w:id="8"/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C02">
        <w:rPr>
          <w:rFonts w:ascii="Times New Roman" w:eastAsia="Times New Roman" w:hAnsi="Times New Roman" w:cs="Times New Roman"/>
          <w:sz w:val="24"/>
          <w:szCs w:val="24"/>
        </w:rPr>
        <w:t>IX: ДАТА НА ИЗПРАЩАНЕ НА НАСТОЯЩЕТО РЕШЕНИЕ</w:t>
      </w: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C02">
        <w:rPr>
          <w:rFonts w:ascii="Times New Roman" w:eastAsia="Times New Roman" w:hAnsi="Times New Roman" w:cs="Times New Roman"/>
          <w:sz w:val="24"/>
          <w:szCs w:val="24"/>
        </w:rPr>
        <w:lastRenderedPageBreak/>
        <w:t>14.05.2015 г.</w:t>
      </w:r>
      <w:proofErr w:type="gramEnd"/>
      <w:r w:rsidRPr="009E7C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02" w:rsidRPr="009E7C02" w:rsidRDefault="009E7C02" w:rsidP="009E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Възложител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Трите</w:t>
      </w:r>
      <w:proofErr w:type="spellEnd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проф.д.ик.н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Стати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Василев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Статев</w:t>
      </w:r>
      <w:proofErr w:type="spellEnd"/>
    </w:p>
    <w:p w:rsidR="009E7C02" w:rsidRPr="009E7C02" w:rsidRDefault="009E7C02" w:rsidP="009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02">
        <w:rPr>
          <w:rFonts w:ascii="Times New Roman" w:eastAsia="Times New Roman" w:hAnsi="Times New Roman" w:cs="Times New Roman"/>
          <w:b/>
          <w:bCs/>
          <w:sz w:val="24"/>
          <w:szCs w:val="24"/>
        </w:rPr>
        <w:t>Длъжност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Ректор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7C02">
        <w:rPr>
          <w:rFonts w:ascii="Times New Roman" w:eastAsia="Times New Roman" w:hAnsi="Times New Roman" w:cs="Times New Roman"/>
          <w:sz w:val="24"/>
          <w:szCs w:val="24"/>
        </w:rPr>
        <w:t xml:space="preserve"> УНСС</w:t>
      </w:r>
    </w:p>
    <w:p w:rsidR="005D2CA3" w:rsidRDefault="005D2CA3">
      <w:bookmarkStart w:id="9" w:name="_GoBack"/>
      <w:bookmarkEnd w:id="9"/>
    </w:p>
    <w:sectPr w:rsidR="005D2C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063"/>
    <w:multiLevelType w:val="multilevel"/>
    <w:tmpl w:val="4F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02"/>
    <w:rsid w:val="005D2CA3"/>
    <w:rsid w:val="009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6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2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5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0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7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5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3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666737" TargetMode="External"/><Relationship Id="rId13" Type="http://schemas.openxmlformats.org/officeDocument/2006/relationships/hyperlink" Target="http://www.aop.bg/case2.php?newver=2&amp;mode=show_doc&amp;doc_id=666737" TargetMode="External"/><Relationship Id="rId18" Type="http://schemas.openxmlformats.org/officeDocument/2006/relationships/hyperlink" Target="javascript:openURL('http://zop.unwe.bg/Document?folderId=141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newver=2&amp;mode=show_doc&amp;doc_id=666737" TargetMode="External"/><Relationship Id="rId12" Type="http://schemas.openxmlformats.org/officeDocument/2006/relationships/hyperlink" Target="http://www.aop.bg/case2.php?newver=2&amp;mode=show_doc&amp;doc_id=666737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newver=2&amp;mode=show_doc&amp;doc_id=6667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newver=2&amp;mode=show_doc&amp;doc_id=666737" TargetMode="External"/><Relationship Id="rId10" Type="http://schemas.openxmlformats.org/officeDocument/2006/relationships/hyperlink" Target="http://www.aop.bg/case2.php?newver=2&amp;mode=show_doc&amp;doc_id=666737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newver=2&amp;mode=show_doc&amp;doc_id=666737" TargetMode="External"/><Relationship Id="rId14" Type="http://schemas.openxmlformats.org/officeDocument/2006/relationships/hyperlink" Target="http://www.aop.bg/case2.php?newver=2&amp;mode=show_doc&amp;doc_id=6667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2015-05-14T08:36:00Z</dcterms:created>
  <dcterms:modified xsi:type="dcterms:W3CDTF">2015-05-14T08:37:00Z</dcterms:modified>
</cp:coreProperties>
</file>